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528986" w14:textId="77777777" w:rsidR="00787269" w:rsidRDefault="00000000">
      <w:pPr>
        <w:spacing w:after="40" w:line="288" w:lineRule="auto"/>
        <w:jc w:val="center"/>
      </w:pPr>
      <w:r>
        <w:rPr>
          <w:b/>
          <w:color w:val="1F3864"/>
          <w:sz w:val="36"/>
        </w:rPr>
        <w:t>ASSUMPTIONS &amp; NOTES</w:t>
      </w:r>
    </w:p>
    <w:p w14:paraId="1F20E740" w14:textId="77777777" w:rsidR="00787269" w:rsidRDefault="00000000">
      <w:pPr>
        <w:spacing w:after="240" w:line="288" w:lineRule="auto"/>
        <w:jc w:val="center"/>
      </w:pPr>
      <w:r>
        <w:rPr>
          <w:i/>
          <w:color w:val="595959"/>
          <w:sz w:val="20"/>
        </w:rPr>
        <w:t>Cost Estimate — Ground-Up Construction (Foundation to Final Walkthrough)</w:t>
      </w:r>
    </w:p>
    <w:p w14:paraId="4C545246" w14:textId="77777777" w:rsidR="00787269" w:rsidRDefault="00000000">
      <w:pPr>
        <w:pBdr>
          <w:bottom w:val="single" w:sz="6" w:space="2" w:color="349989"/>
        </w:pBdr>
        <w:spacing w:before="240" w:after="100"/>
      </w:pPr>
      <w:r>
        <w:rPr>
          <w:b/>
          <w:color w:val="349989"/>
          <w:sz w:val="26"/>
        </w:rPr>
        <w:t>1.  Basis of Estimate</w:t>
      </w:r>
    </w:p>
    <w:p w14:paraId="462EA641" w14:textId="77777777" w:rsidR="00787269" w:rsidRDefault="00000000">
      <w:pPr>
        <w:pStyle w:val="ListBullet"/>
        <w:spacing w:after="80"/>
      </w:pPr>
      <w:r>
        <w:t>Building area: 1,328 SF (express oil-change building, 2 service bays) plus a 121 SF trash enclosure. Site area: 22,211 SF (0.51 acre).</w:t>
      </w:r>
    </w:p>
    <w:p w14:paraId="06ACF57E" w14:textId="77777777" w:rsidR="00787269" w:rsidRDefault="00000000">
      <w:pPr>
        <w:pStyle w:val="ListBullet"/>
        <w:spacing w:after="80"/>
      </w:pPr>
      <w:r>
        <w:t>Civil drawings are marked “FOR REFERENCE ONLY”; final site quantities to be confirmed against the issued civil set. Where drawings conflict, the more restrictive condition is assumed pending RFI.</w:t>
      </w:r>
    </w:p>
    <w:p w14:paraId="34528923" w14:textId="77777777" w:rsidR="00787269" w:rsidRDefault="00000000">
      <w:pPr>
        <w:pBdr>
          <w:bottom w:val="single" w:sz="6" w:space="2" w:color="349989"/>
        </w:pBdr>
        <w:spacing w:before="240" w:after="100"/>
      </w:pPr>
      <w:r>
        <w:rPr>
          <w:b/>
          <w:color w:val="349989"/>
          <w:sz w:val="26"/>
        </w:rPr>
        <w:t>2.  Earthwork &amp; Grading Assumptions</w:t>
      </w:r>
    </w:p>
    <w:p w14:paraId="5D63DD8D" w14:textId="77777777" w:rsidR="00787269" w:rsidRDefault="00000000">
      <w:pPr>
        <w:spacing w:after="120" w:line="288" w:lineRule="auto"/>
      </w:pPr>
      <w:r>
        <w:t>Finished floor elevation (FF) = 826.60 (per Civil Grading Plan C-4.0). Excavation/subgrade depths are taken below finished surfaces as follows:</w:t>
      </w:r>
    </w:p>
    <w:p w14:paraId="5B376242" w14:textId="77777777" w:rsidR="00787269" w:rsidRDefault="00000000">
      <w:pPr>
        <w:pStyle w:val="ListBullet"/>
        <w:spacing w:after="80"/>
      </w:pPr>
      <w:r>
        <w:rPr>
          <w:b/>
        </w:rPr>
        <w:t xml:space="preserve">Building pad subgrade:  </w:t>
      </w:r>
      <w:r>
        <w:t>FF 826.60 − 0.75 ft (5″ slab + 4″ granular base) = 825.85.</w:t>
      </w:r>
    </w:p>
    <w:p w14:paraId="76C1575D" w14:textId="77777777" w:rsidR="00787269" w:rsidRDefault="00000000">
      <w:pPr>
        <w:pStyle w:val="ListBullet"/>
        <w:spacing w:after="80"/>
      </w:pPr>
      <w:r>
        <w:rPr>
          <w:b/>
        </w:rPr>
        <w:t xml:space="preserve">Concrete paving area:  </w:t>
      </w:r>
      <w:r>
        <w:t>Excavate to TP − (6″ concrete + 6″ granular base ≈ 1.0 ft) below top of pavement.</w:t>
      </w:r>
    </w:p>
    <w:p w14:paraId="72417F5F" w14:textId="77777777" w:rsidR="00787269" w:rsidRDefault="00000000">
      <w:pPr>
        <w:pStyle w:val="ListBullet"/>
        <w:spacing w:after="80"/>
      </w:pPr>
      <w:r>
        <w:rPr>
          <w:b/>
        </w:rPr>
        <w:t xml:space="preserve">Spread topsoil in landscape areas:  </w:t>
      </w:r>
      <w:r>
        <w:t>Stripped topsoil is respread at 6″ (0.5 ft) backfill thickness over landscape areas.</w:t>
      </w:r>
    </w:p>
    <w:p w14:paraId="55C051A0" w14:textId="77777777" w:rsidR="00787269" w:rsidRDefault="00000000">
      <w:pPr>
        <w:pStyle w:val="ListBullet"/>
        <w:spacing w:after="80"/>
      </w:pPr>
      <w:r>
        <w:t xml:space="preserve">Topsoil strip depth taken as 6″ per </w:t>
      </w:r>
      <w:proofErr w:type="spellStart"/>
      <w:r>
        <w:t>geotech</w:t>
      </w:r>
      <w:proofErr w:type="spellEnd"/>
      <w:r>
        <w:t xml:space="preserve"> (5–7″ reported). Site is relatively flat (finished ≈ existing per </w:t>
      </w:r>
      <w:proofErr w:type="spellStart"/>
      <w:r>
        <w:t>geotech</w:t>
      </w:r>
      <w:proofErr w:type="spellEnd"/>
      <w:r>
        <w:t>); mass cut/fill assumed minor, with stripping and structural/pit excavation as the controlling earthwork quantities.</w:t>
      </w:r>
    </w:p>
    <w:p w14:paraId="4E08598A" w14:textId="77777777" w:rsidR="00787269" w:rsidRDefault="00000000">
      <w:pPr>
        <w:pStyle w:val="ListBullet"/>
        <w:spacing w:after="80"/>
      </w:pPr>
      <w:r>
        <w:t>Engineered fill placed in ≤9″ lifts, compacted to ≥95% (Modified Proctor). Lime stabilization of upper 6–12″ subgrade (3–5% by dry weight) carried as an allowance where required.</w:t>
      </w:r>
    </w:p>
    <w:p w14:paraId="315FEAFC" w14:textId="77777777" w:rsidR="00787269" w:rsidRDefault="00000000">
      <w:pPr>
        <w:pBdr>
          <w:bottom w:val="single" w:sz="6" w:space="2" w:color="349989"/>
        </w:pBdr>
        <w:spacing w:before="240" w:after="100"/>
      </w:pPr>
      <w:r>
        <w:rPr>
          <w:b/>
          <w:color w:val="349989"/>
          <w:sz w:val="26"/>
        </w:rPr>
        <w:t>3.  Quantities</w:t>
      </w:r>
    </w:p>
    <w:p w14:paraId="47C695F2" w14:textId="77777777" w:rsidR="00787269" w:rsidRDefault="00000000">
      <w:pPr>
        <w:pStyle w:val="ListBullet"/>
        <w:spacing w:after="80"/>
      </w:pPr>
      <w:r>
        <w:t>Landscape quantities are taken directly from the drawings (LP-1 Plant Schedule): 6 Crape Myrtle, 3 Live Oak, 4 Cedar Elm, 10 Glossy Abelia, 37 Pink Muhly Grass, 6 Hameln Fountain Grass, 8,324 SF Bermuda sod, 69 SF decomposed granite.</w:t>
      </w:r>
    </w:p>
    <w:p w14:paraId="28733AEF" w14:textId="77777777" w:rsidR="00787269" w:rsidRDefault="00000000">
      <w:pPr>
        <w:pStyle w:val="ListBullet"/>
        <w:spacing w:after="80"/>
      </w:pPr>
      <w:r>
        <w:t>Irrigation, plumbing, electrical, and general-conditions quantities are estimated based on project scope and building/site scale where not explicitly scheduled on the drawings.</w:t>
      </w:r>
    </w:p>
    <w:p w14:paraId="67A8AA61" w14:textId="77777777" w:rsidR="00787269" w:rsidRDefault="00000000">
      <w:pPr>
        <w:pStyle w:val="ListBullet"/>
        <w:spacing w:after="80"/>
      </w:pPr>
      <w:r>
        <w:t>Window/door areas per A6.00 schedules; EIFS and insulation per net wall areas (less openings).</w:t>
      </w:r>
    </w:p>
    <w:p w14:paraId="4C9D36FC" w14:textId="77777777" w:rsidR="00787269" w:rsidRDefault="00000000">
      <w:pPr>
        <w:pBdr>
          <w:bottom w:val="single" w:sz="6" w:space="2" w:color="349989"/>
        </w:pBdr>
        <w:spacing w:before="240" w:after="100"/>
      </w:pPr>
      <w:r>
        <w:rPr>
          <w:b/>
          <w:color w:val="349989"/>
          <w:sz w:val="26"/>
        </w:rPr>
        <w:t>4.  Pricing &amp; Markups</w:t>
      </w:r>
    </w:p>
    <w:p w14:paraId="46534307" w14:textId="77777777" w:rsidR="00787269" w:rsidRDefault="00000000">
      <w:pPr>
        <w:pStyle w:val="ListBullet"/>
        <w:spacing w:after="80"/>
      </w:pPr>
      <w:r>
        <w:t>Unit prices reflect estimated Sherman, TX local market rates (bare labor and bare material).</w:t>
      </w:r>
    </w:p>
    <w:p w14:paraId="033F4973" w14:textId="77777777" w:rsidR="00787269" w:rsidRDefault="00000000">
      <w:pPr>
        <w:pStyle w:val="ListBullet"/>
        <w:spacing w:after="80"/>
      </w:pPr>
      <w:r>
        <w:t>Markups follow the workbook convention: Labor × 1.25 and Material × 1.35 to derive the “w/M” (with-markup) totals. Total Cost w/M = Labor w/M + Material w/M.</w:t>
      </w:r>
    </w:p>
    <w:p w14:paraId="2DF17574" w14:textId="77777777" w:rsidR="00787269" w:rsidRDefault="00000000">
      <w:pPr>
        <w:pStyle w:val="ListBullet"/>
        <w:spacing w:after="80"/>
      </w:pPr>
      <w:r>
        <w:t>Wastage factors are applied per line item (typically 2–15%).</w:t>
      </w:r>
    </w:p>
    <w:p w14:paraId="2333B138" w14:textId="77777777" w:rsidR="00787269" w:rsidRDefault="00000000">
      <w:pPr>
        <w:pBdr>
          <w:bottom w:val="single" w:sz="6" w:space="2" w:color="349989"/>
        </w:pBdr>
        <w:spacing w:before="240" w:after="100"/>
      </w:pPr>
      <w:r>
        <w:rPr>
          <w:b/>
          <w:color w:val="349989"/>
          <w:sz w:val="26"/>
        </w:rPr>
        <w:t>5.  Inclusions</w:t>
      </w:r>
    </w:p>
    <w:p w14:paraId="1122862A" w14:textId="77777777" w:rsidR="00787269" w:rsidRDefault="00000000">
      <w:pPr>
        <w:pStyle w:val="ListBullet"/>
        <w:spacing w:after="80"/>
      </w:pPr>
      <w:r>
        <w:lastRenderedPageBreak/>
        <w:t>All trades from the scope letter: excavation/utilities, landscaping &amp; irrigation, concrete (footings, slab, service pits, flatwork), concrete sealing, masonry (trash enclosure), lumber/trusses, carpentry, EIFS, insulation, roofing (Duro-Last TPO), glass, paint/epoxy, plumbing, HVAC, electrical, and supervision/general conditions.</w:t>
      </w:r>
    </w:p>
    <w:p w14:paraId="7481C468" w14:textId="77777777" w:rsidR="00787269" w:rsidRDefault="00000000">
      <w:pPr>
        <w:pBdr>
          <w:bottom w:val="single" w:sz="6" w:space="2" w:color="349989"/>
        </w:pBdr>
        <w:spacing w:before="240" w:after="100"/>
      </w:pPr>
      <w:r>
        <w:rPr>
          <w:b/>
          <w:color w:val="349989"/>
          <w:sz w:val="26"/>
        </w:rPr>
        <w:t>6.  Exclusions / By Others</w:t>
      </w:r>
    </w:p>
    <w:p w14:paraId="3158D11A" w14:textId="77777777" w:rsidR="00787269" w:rsidRDefault="00000000">
      <w:pPr>
        <w:pStyle w:val="ListBullet"/>
        <w:spacing w:after="80"/>
      </w:pPr>
      <w:r>
        <w:t>Exterior signage (by Owner’s sign vendor).</w:t>
      </w:r>
    </w:p>
    <w:p w14:paraId="375AADEF" w14:textId="77777777" w:rsidR="00787269" w:rsidRDefault="00000000">
      <w:pPr>
        <w:pStyle w:val="ListBullet"/>
        <w:spacing w:after="80"/>
      </w:pPr>
      <w:r>
        <w:t xml:space="preserve">Equipment — oil tanks, lifts, hose reels, drop safe, </w:t>
      </w:r>
      <w:proofErr w:type="gramStart"/>
      <w:r>
        <w:t>work stations</w:t>
      </w:r>
      <w:proofErr w:type="gramEnd"/>
      <w:r>
        <w:t xml:space="preserve"> (Owner/vendor furnished).</w:t>
      </w:r>
    </w:p>
    <w:p w14:paraId="2CCF7B59" w14:textId="77777777" w:rsidR="00787269" w:rsidRDefault="00000000">
      <w:pPr>
        <w:pStyle w:val="ListBullet"/>
        <w:spacing w:after="80"/>
      </w:pPr>
      <w:r>
        <w:t>Compressed-air piping (by others, per scope letter).</w:t>
      </w:r>
    </w:p>
    <w:p w14:paraId="2EBBD0C9" w14:textId="77777777" w:rsidR="00787269" w:rsidRDefault="00000000">
      <w:pPr>
        <w:pStyle w:val="ListBullet"/>
        <w:spacing w:after="80"/>
      </w:pPr>
      <w:r>
        <w:t>Fire sprinklers / fire alarm (not required per IFC; verify with AHJ).</w:t>
      </w:r>
    </w:p>
    <w:p w14:paraId="7645857C" w14:textId="77777777" w:rsidR="00787269" w:rsidRDefault="00000000">
      <w:pPr>
        <w:pStyle w:val="ListBullet"/>
        <w:spacing w:after="80"/>
      </w:pPr>
      <w:r>
        <w:t>Builder’s risk insurance, bonds, and permit fees beyond the carried allowance.</w:t>
      </w:r>
    </w:p>
    <w:p w14:paraId="641ED769" w14:textId="77777777" w:rsidR="00787269" w:rsidRDefault="00000000">
      <w:pPr>
        <w:pBdr>
          <w:bottom w:val="single" w:sz="6" w:space="2" w:color="349989"/>
        </w:pBdr>
        <w:spacing w:before="240" w:after="100"/>
      </w:pPr>
      <w:r>
        <w:rPr>
          <w:b/>
          <w:color w:val="349989"/>
          <w:sz w:val="26"/>
        </w:rPr>
        <w:t>7.  Clarifications to Verify</w:t>
      </w:r>
    </w:p>
    <w:p w14:paraId="0E3AD09B" w14:textId="77777777" w:rsidR="00787269" w:rsidRDefault="00000000">
      <w:pPr>
        <w:pStyle w:val="ListBullet"/>
        <w:spacing w:after="80"/>
      </w:pPr>
      <w:r>
        <w:t xml:space="preserve">Parking field surface (asphalt vs. concrete): </w:t>
      </w:r>
      <w:proofErr w:type="spellStart"/>
      <w:r>
        <w:t>geotech</w:t>
      </w:r>
      <w:proofErr w:type="spellEnd"/>
      <w:r>
        <w:t xml:space="preserve"> anticipates bituminous parking/drives with concrete aprons; scope letter lists paving under Concrete. This estimate assumes concrete paving (6″) per current direction — confirm with Owner.</w:t>
      </w:r>
    </w:p>
    <w:p w14:paraId="01618EA6" w14:textId="77777777" w:rsidR="00787269" w:rsidRDefault="00000000">
      <w:pPr>
        <w:pStyle w:val="ListBullet"/>
        <w:spacing w:after="80"/>
      </w:pPr>
      <w:r>
        <w:t xml:space="preserve">Geotech net allowable bearing pressure: Executive Summary states 4,000 </w:t>
      </w:r>
      <w:proofErr w:type="spellStart"/>
      <w:r>
        <w:t>psf</w:t>
      </w:r>
      <w:proofErr w:type="spellEnd"/>
      <w:r>
        <w:t xml:space="preserve"> while the Foundation Recommendations state 2,000 </w:t>
      </w:r>
      <w:proofErr w:type="spellStart"/>
      <w:r>
        <w:t>psf</w:t>
      </w:r>
      <w:proofErr w:type="spellEnd"/>
      <w:r>
        <w:t xml:space="preserve"> — confirm governing value with G2 prior to foundation pricing.</w:t>
      </w:r>
    </w:p>
    <w:p w14:paraId="16AA1C99" w14:textId="77777777" w:rsidR="00787269" w:rsidRDefault="00000000">
      <w:pPr>
        <w:pStyle w:val="ListBullet"/>
        <w:spacing w:after="80"/>
      </w:pPr>
      <w:r>
        <w:t>Permit fees carried as a $6,000 allowance (not marked up in practice) — adjust to actual jurisdiction fees when known.</w:t>
      </w:r>
    </w:p>
    <w:sectPr w:rsidR="00787269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B12699" w14:textId="77777777" w:rsidR="006F382D" w:rsidRDefault="006F382D">
      <w:pPr>
        <w:spacing w:line="240" w:lineRule="auto"/>
      </w:pPr>
      <w:r>
        <w:separator/>
      </w:r>
    </w:p>
  </w:endnote>
  <w:endnote w:type="continuationSeparator" w:id="0">
    <w:p w14:paraId="1F274948" w14:textId="77777777" w:rsidR="006F382D" w:rsidRDefault="006F38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07ED52" w14:textId="77777777" w:rsidR="006F382D" w:rsidRDefault="006F382D">
      <w:pPr>
        <w:spacing w:after="0"/>
      </w:pPr>
      <w:r>
        <w:separator/>
      </w:r>
    </w:p>
  </w:footnote>
  <w:footnote w:type="continuationSeparator" w:id="0">
    <w:p w14:paraId="1CE15BB5" w14:textId="77777777" w:rsidR="006F382D" w:rsidRDefault="006F38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103454325">
    <w:abstractNumId w:val="1"/>
  </w:num>
  <w:num w:numId="2" w16cid:durableId="1609197186">
    <w:abstractNumId w:val="4"/>
  </w:num>
  <w:num w:numId="3" w16cid:durableId="1721633780">
    <w:abstractNumId w:val="5"/>
  </w:num>
  <w:num w:numId="4" w16cid:durableId="1699232483">
    <w:abstractNumId w:val="2"/>
  </w:num>
  <w:num w:numId="5" w16cid:durableId="940454729">
    <w:abstractNumId w:val="0"/>
  </w:num>
  <w:num w:numId="6" w16cid:durableId="173901133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2952"/>
    <w:rsid w:val="006F382D"/>
    <w:rsid w:val="00787269"/>
    <w:rsid w:val="00AA1D8D"/>
    <w:rsid w:val="00B47730"/>
    <w:rsid w:val="00CB0664"/>
    <w:rsid w:val="00CC4512"/>
    <w:rsid w:val="00FC693F"/>
    <w:rsid w:val="0188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7AD0D3"/>
  <w14:defaultImageDpi w14:val="300"/>
  <w15:docId w15:val="{BAED3011-2AF0-FC4C-99FC-8FEF5B32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 w:qFormat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 w:qFormat="1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 w:qFormat="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 w:qFormat="1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 w:qFormat="1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2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Bullet">
    <w:name w:val="List Bullet"/>
    <w:basedOn w:val="Normal"/>
    <w:uiPriority w:val="99"/>
    <w:unhideWhenUsed/>
    <w:pPr>
      <w:numPr>
        <w:numId w:val="3"/>
      </w:numPr>
      <w:contextualSpacing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pPr>
      <w:numPr>
        <w:numId w:val="4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ListNumber3">
    <w:name w:val="List Number 3"/>
    <w:basedOn w:val="Normal"/>
    <w:uiPriority w:val="99"/>
    <w:unhideWhenUsed/>
    <w:pPr>
      <w:numPr>
        <w:numId w:val="5"/>
      </w:numPr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6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2987</Characters>
  <Application>Microsoft Office Word</Application>
  <DocSecurity>0</DocSecurity>
  <Lines>50</Lines>
  <Paragraphs>35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Junzhe Shi</cp:lastModifiedBy>
  <cp:revision>2</cp:revision>
  <dcterms:created xsi:type="dcterms:W3CDTF">2013-12-23T23:15:00Z</dcterms:created>
  <dcterms:modified xsi:type="dcterms:W3CDTF">2026-07-21T19:52:00Z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eyJoZGlkIjoiNGU0N2NjMDgwNmNkNWEwYWI0NTE3OWQ5YjYxMGU3NGEiLCJ1c2VySWQiOiI0NjA2ODUxNTMifQ==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F4F9807CC25F4068B1D0E83A55828A73_12</vt:lpwstr>
  </property>
</Properties>
</file>